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spacing w:line="268" w:lineRule="auto"/>
        <w:ind w:firstLine="240"/>
        <w:rPr/>
      </w:pPr>
      <w:r w:rsidDel="00000000" w:rsidR="00000000" w:rsidRPr="00000000">
        <w:rPr>
          <w:rtl w:val="0"/>
        </w:rPr>
        <w:t xml:space="preserve">Netskope anuncia la integración con ChatGPT Enterprise de OpenAI para reforzar la gobernanza y el cumplimiento de los datos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spacing w:before="0" w:line="268" w:lineRule="auto"/>
        <w:ind w:left="110" w:right="117" w:firstLine="0.9999999999999964"/>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El líder de SASE amplía la gestión de riesgos a la API de cumplimiento empresarial ChatGPT de OpenAI con controles de API avanzados que ayudan a gestionar los datos confidenciales y respaldan el cumplimiento normativo para los clientes empresariales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1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Ciudad de México, 23</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de julio de 2024 - </w:t>
      </w:r>
      <w:hyperlink r:id="rId7">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t xml:space="preserve">Netskope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líder en perímetro de servicio de acceso seguro (SASE), ha anunciado hoy una integración con la API de cumplimiento empresarial ChatGPT de OpenAI, para ofrecer controles habilitados para API que refuercen la seguridad y el cumplimiento para las organizaciones empresariales que utilizan aplicaciones de IA generativa (genAI). A través de esta integración con ChatGPT Enterprise, </w:t>
      </w:r>
      <w:hyperlink r:id="rId8">
        <w:r w:rsidDel="00000000" w:rsidR="00000000" w:rsidRPr="00000000">
          <w:rPr>
            <w:rFonts w:ascii="Arial" w:cs="Arial" w:eastAsia="Arial" w:hAnsi="Arial"/>
            <w:b w:val="0"/>
            <w:i w:val="0"/>
            <w:smallCaps w:val="0"/>
            <w:strike w:val="0"/>
            <w:color w:val="1154cc"/>
            <w:sz w:val="22"/>
            <w:szCs w:val="22"/>
            <w:u w:val="none"/>
            <w:shd w:fill="auto" w:val="clear"/>
            <w:vertAlign w:val="baseline"/>
            <w:rtl w:val="0"/>
          </w:rPr>
          <w:t xml:space="preserve">la plataforma</w:t>
        </w:r>
      </w:hyperlink>
      <w:hyperlink r:id="rId9">
        <w:r w:rsidDel="00000000" w:rsidR="00000000" w:rsidRPr="00000000">
          <w:rPr>
            <w:color w:val="1154cc"/>
            <w:rtl w:val="0"/>
          </w:rPr>
          <w:t xml:space="preserve"> </w:t>
        </w:r>
      </w:hyperlink>
      <w:hyperlink r:id="rId10">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t xml:space="preserve">Netskope One</w:t>
        </w:r>
      </w:hyperlink>
      <w:hyperlink r:id="rId11">
        <w:r w:rsidDel="00000000" w:rsidR="00000000" w:rsidRPr="00000000">
          <w:rPr>
            <w:rFonts w:ascii="Arial" w:cs="Arial" w:eastAsia="Arial" w:hAnsi="Arial"/>
            <w:b w:val="0"/>
            <w:i w:val="0"/>
            <w:smallCaps w:val="0"/>
            <w:strike w:val="0"/>
            <w:color w:val="1154cc"/>
            <w:sz w:val="22"/>
            <w:szCs w:val="22"/>
            <w:u w:val="none"/>
            <w:shd w:fill="auto" w:val="clear"/>
            <w:vertAlign w:val="baseline"/>
            <w:rtl w:val="0"/>
          </w:rPr>
          <w:t xml:space="preserve">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proporciona a las organizaciones funciones de seguridad mejoradas, como la visibilidad de las aplicaciones, una sólida aplicación de políticas, una seguridad de datos avanzada y una gestión integral de la postura de seguridad.</w:t>
      </w:r>
      <w:r w:rsidDel="00000000" w:rsidR="00000000" w:rsidRPr="00000000">
        <mc:AlternateContent>
          <mc:Choice Requires="wps">
            <w:drawing>
              <wp:anchor allowOverlap="1" behindDoc="1" distB="0" distT="0" distL="114300" distR="114300" hidden="0" layoutInCell="1" locked="0" relativeHeight="0" simplePos="0">
                <wp:simplePos x="0" y="0"/>
                <wp:positionH relativeFrom="column">
                  <wp:posOffset>4940300</wp:posOffset>
                </wp:positionH>
                <wp:positionV relativeFrom="paragraph">
                  <wp:posOffset>850900</wp:posOffset>
                </wp:positionV>
                <wp:extent cx="9525" cy="12700"/>
                <wp:effectExtent b="0" l="0" r="0" t="0"/>
                <wp:wrapNone/>
                <wp:docPr id="1" name=""/>
                <a:graphic>
                  <a:graphicData uri="http://schemas.microsoft.com/office/word/2010/wordprocessingShape">
                    <wps:wsp>
                      <wps:cNvSpPr/>
                      <wps:cNvPr id="2" name="Shape 2"/>
                      <wps:spPr>
                        <a:xfrm>
                          <a:off x="5791770" y="3775238"/>
                          <a:ext cx="810260" cy="9525"/>
                        </a:xfrm>
                        <a:prstGeom prst="rect">
                          <a:avLst/>
                        </a:prstGeom>
                        <a:solidFill>
                          <a:srgbClr val="1154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4940300</wp:posOffset>
                </wp:positionH>
                <wp:positionV relativeFrom="paragraph">
                  <wp:posOffset>850900</wp:posOffset>
                </wp:positionV>
                <wp:extent cx="9525" cy="12700"/>
                <wp:effectExtent b="0" l="0" r="0" t="0"/>
                <wp:wrapNone/>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136" w:firstLine="0"/>
        <w:jc w:val="both"/>
        <w:rPr>
          <w:rFonts w:ascii="Arial" w:cs="Arial" w:eastAsia="Arial" w:hAnsi="Arial"/>
          <w:b w:val="0"/>
          <w:i w:val="0"/>
          <w:smallCaps w:val="0"/>
          <w:strike w:val="0"/>
          <w:color w:val="000000"/>
          <w:sz w:val="22"/>
          <w:szCs w:val="22"/>
          <w:u w:val="none"/>
          <w:shd w:fill="auto" w:val="clear"/>
          <w:vertAlign w:val="baseline"/>
        </w:rPr>
      </w:pPr>
      <w:hyperlink r:id="rId13">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t xml:space="preserve">Netskope informó recientemente</w:t>
        </w:r>
      </w:hyperlink>
      <w:hyperlink r:id="rId14">
        <w:r w:rsidDel="00000000" w:rsidR="00000000" w:rsidRPr="00000000">
          <w:rPr>
            <w:rFonts w:ascii="Arial" w:cs="Arial" w:eastAsia="Arial" w:hAnsi="Arial"/>
            <w:b w:val="0"/>
            <w:i w:val="0"/>
            <w:smallCaps w:val="0"/>
            <w:strike w:val="0"/>
            <w:color w:val="1154cc"/>
            <w:sz w:val="22"/>
            <w:szCs w:val="22"/>
            <w:u w:val="none"/>
            <w:shd w:fill="auto" w:val="clear"/>
            <w:vertAlign w:val="baseline"/>
            <w:rtl w:val="0"/>
          </w:rPr>
          <w:t xml:space="preserve">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el uso de aplicaciones genAI entre los usuarios se triplicó con creces desde el año pasado, instando a las organizaciones a reevaluar sus estrategias de protección de datos en medio de la proliferación de la adopción de la IA. Si bien la actividad promedio por usuario de genAI también se ha duplicado, mantener los estándares de cumplimiento, mitigar las violaciones de las políticas de datos y ayudar a respaldar el uso seguro de las aplicaciones de genAI, como ChatGPT Enterprise, es cada vez más crítico.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136" w:firstLine="0"/>
        <w:jc w:val="both"/>
        <w:rPr>
          <w:rFonts w:ascii="Arial" w:cs="Arial" w:eastAsia="Arial" w:hAnsi="Arial"/>
          <w:b w:val="0"/>
          <w:i w:val="0"/>
          <w:smallCaps w:val="0"/>
          <w:strike w:val="0"/>
          <w:color w:val="000000"/>
          <w:sz w:val="22"/>
          <w:szCs w:val="22"/>
          <w:u w:val="none"/>
          <w:shd w:fill="auto" w:val="clear"/>
          <w:vertAlign w:val="baseline"/>
        </w:rPr>
      </w:pPr>
      <w:hyperlink r:id="rId15">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t xml:space="preserve">La protección de API CASB de Netskope</w:t>
        </w:r>
      </w:hyperlink>
      <w:hyperlink r:id="rId16">
        <w:r w:rsidDel="00000000" w:rsidR="00000000" w:rsidRPr="00000000">
          <w:rPr>
            <w:rFonts w:ascii="Arial" w:cs="Arial" w:eastAsia="Arial" w:hAnsi="Arial"/>
            <w:b w:val="0"/>
            <w:i w:val="0"/>
            <w:smallCaps w:val="0"/>
            <w:strike w:val="0"/>
            <w:color w:val="1154cc"/>
            <w:sz w:val="22"/>
            <w:szCs w:val="22"/>
            <w:u w:val="none"/>
            <w:shd w:fill="auto" w:val="clear"/>
            <w:vertAlign w:val="baseline"/>
            <w:rtl w:val="0"/>
          </w:rPr>
          <w:t xml:space="preserve">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aprovecha las API disponibles de los principales proveedores, como Box, Google Workspace y Microsoft 365, para proporcionar visibilidad de la configuración y los datos que residen en el servicio en la nube, aplicando potentes políticas para controlar el acceso y proteger los datos que contienen. La integración de Netskope está diseñada para ayudar a que los datos empresariales de ChatGPT Enterprise sigan cumpliendo con la normativa, seguros y protegidos.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11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integrar la plataforma Netskope One en las capacidades avanzadas de OpenAI en ChatGPT Enterprise, Netskope continúa liderando el suministro de soluciones de seguridad integrales para las empresas que adoptan herramientas genAI", dijo Andy Horwitz, vicepresidente sénior del Ecosistema Global de Socios de Netskope. "Esta integración refuerza nuestro compromiso de empoderar a las organizaciones con las herramientas que necesitan para ayudar a administrar datos confidenciales y respaldar el cumplimiento a medida que la adopción de la IA continúa acelerándose".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0" w:right="13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integración de Netskope con ChatGPT Enterprise permite ahora a los clientes conjuntos hacer lo siguiente de forma más eficaz:</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68" w:lineRule="auto"/>
        <w:ind w:left="821" w:right="126" w:hanging="360"/>
        <w:jc w:val="both"/>
        <w:rPr>
          <w:rFonts w:ascii="Arial" w:cs="Arial" w:eastAsia="Arial" w:hAnsi="Arial"/>
          <w:b w:val="0"/>
          <w:i w:val="0"/>
          <w:smallCaps w:val="0"/>
          <w:strike w:val="0"/>
          <w:color w:val="000000"/>
          <w:sz w:val="22"/>
          <w:szCs w:val="22"/>
          <w:u w:val="none"/>
          <w:shd w:fill="auto" w:val="clear"/>
          <w:vertAlign w:val="baseline"/>
        </w:rPr>
        <w:sectPr>
          <w:headerReference r:id="rId17" w:type="default"/>
          <w:pgSz w:h="15840" w:w="12240" w:orient="portrait"/>
          <w:pgMar w:bottom="280" w:top="1360" w:left="1340" w:right="1340" w:header="360" w:footer="360"/>
          <w:pgNumType w:start="1"/>
        </w:sect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Cumpla con los estándares de cumplimiento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 más de 50 plantillas de cumplimiento y 3,000+ identificadores de datos, las organizaciones ahora pueden ayudar a aplicar la prevención de pérdida de datos (DLP) y las políticas de cumplimient</w:t>
      </w:r>
      <w:r w:rsidDel="00000000" w:rsidR="00000000" w:rsidRPr="00000000">
        <w:rPr>
          <w:rtl w:val="0"/>
        </w:rPr>
        <w:t xml:space="preserve">o en torno a los datos confidenciales para respaldar el cumplimiento de regulaciones de cumplimiento como GDPR, HIPAA, GLBA y más.</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1" w:lineRule="auto"/>
        <w:ind w:left="0" w:right="1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68" w:lineRule="auto"/>
        <w:ind w:left="821" w:right="15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Detección avanzada y protección de datos confidenciales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 visibilidad y control fuera de banda, </w:t>
      </w:r>
      <w:r w:rsidDel="00000000" w:rsidR="00000000" w:rsidRPr="00000000">
        <w:rPr>
          <w:rtl w:val="0"/>
        </w:rPr>
        <w:t xml:space="preserve">ayuda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proteger la información confidencial, como la información de identificación personal (PII) y la propiedad intelectual (IP). Además, el escaneo continuo de datos identifica y toma medidas sobre la fuga de datos confidenciales casi en tiempo real, y los usuarios pueden aprovechar técnicas de DLP sofisticadas y precisas, incluido el aprendizaje automático (ML) y el reconocimiento óptico de caracteres (OCR), para encontrar información confidencial que generalmente es difícil de identificar.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68" w:lineRule="auto"/>
        <w:ind w:left="0" w:right="159" w:firstLine="0"/>
        <w:jc w:val="both"/>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66" w:lineRule="auto"/>
        <w:ind w:left="821" w:right="19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Protéjase contra las amenazas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los modelos avanzados de ML para la detección de malware complementan las firmas más tradicionales, los métodos heurísticos y las técnicas de sandboxing, lo que remedia aún más los riesgos al identificar las amenazas potenciales casi en tiempo real.</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11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Más detalles sobre la integración basada en API de Netskope para ChatGPT Enterprise están disponibles </w:t>
      </w:r>
      <w:hyperlink r:id="rId18">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t xml:space="preserve">aquí</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obtener más información sobre la integración de Netskope con ChatGPT Enterprise y otras plataformas de genAI con capacidades de Netskope One, visite </w:t>
      </w:r>
      <w:hyperlink r:id="rId19">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t xml:space="preserve">aquí</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1"/>
        <w:spacing w:before="93" w:lineRule="auto"/>
        <w:ind w:firstLine="100"/>
        <w:jc w:val="both"/>
        <w:rPr>
          <w:i w:val="1"/>
        </w:rPr>
      </w:pPr>
      <w:r w:rsidDel="00000000" w:rsidR="00000000" w:rsidRPr="00000000">
        <w:rPr>
          <w:i w:val="1"/>
          <w:rtl w:val="0"/>
        </w:rPr>
        <w:t xml:space="preserve">Acerca de Netskope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68" w:lineRule="auto"/>
        <w:ind w:left="100" w:right="11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Netskope, líder mundial en SASE, ayuda a las organizaciones a aplicar los principios de confianza cero y las innovaciones de IA/ML para proteger los datos y defenderse de las amenazas cibernéticas. Rápida y fácil de usar, la plataforma Netskope One y su motor patentado Zero Trust Engine proporcionan un acceso optimizado y seguridad en tiempo real para las personas, los dispositivos y los datos dondequiera que vayan. Miles de clientes confían en Netskope y su potente red NewEdge para reducir el riesgo y obtener una visibilidad inigualable de cualquier actividad en la nube, la web y las aplicaciones privadas, proporcionando seguridad y acelerando el rendimiento sin concesiones. Más información en </w:t>
      </w:r>
      <w:hyperlink r:id="rId20">
        <w:r w:rsidDel="00000000" w:rsidR="00000000" w:rsidRPr="00000000">
          <w:rPr>
            <w:rFonts w:ascii="Arial" w:cs="Arial" w:eastAsia="Arial" w:hAnsi="Arial"/>
            <w:b w:val="0"/>
            <w:i w:val="1"/>
            <w:smallCaps w:val="0"/>
            <w:strike w:val="0"/>
            <w:color w:val="1154cc"/>
            <w:sz w:val="22"/>
            <w:szCs w:val="22"/>
            <w:u w:val="none"/>
            <w:shd w:fill="auto" w:val="clear"/>
            <w:vertAlign w:val="baseline"/>
            <w:rtl w:val="0"/>
          </w:rPr>
          <w:t xml:space="preserve">netskope.com</w:t>
        </w:r>
      </w:hyperlink>
      <w:hyperlink r:id="rId21">
        <w:r w:rsidDel="00000000" w:rsidR="00000000" w:rsidRPr="00000000">
          <w:rPr>
            <w:rFonts w:ascii="Arial" w:cs="Arial" w:eastAsia="Arial" w:hAnsi="Arial"/>
            <w:b w:val="0"/>
            <w:i w:val="1"/>
            <w:smallCaps w:val="0"/>
            <w:strike w:val="0"/>
            <w:color w:val="1154cc"/>
            <w:sz w:val="22"/>
            <w:szCs w:val="22"/>
            <w:u w:val="none"/>
            <w:shd w:fill="auto" w:val="clear"/>
            <w:vertAlign w:val="baseline"/>
            <w:rtl w:val="0"/>
          </w:rPr>
          <w:t xml:space="preserve">.</w:t>
        </w:r>
      </w:hyperlink>
      <w:r w:rsidDel="00000000" w:rsidR="00000000" w:rsidRPr="00000000">
        <w:rPr>
          <w:rtl w:val="0"/>
        </w:rPr>
      </w:r>
    </w:p>
    <w:sectPr>
      <w:type w:val="nextPage"/>
      <w:pgSz w:h="15840" w:w="12240" w:orient="portrait"/>
      <w:pgMar w:bottom="280" w:top="1360" w:left="1340" w:right="13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9">
    <w:pPr>
      <w:rPr/>
    </w:pPr>
    <w:r w:rsidDel="00000000" w:rsidR="00000000" w:rsidRPr="00000000">
      <w:rPr/>
      <w:drawing>
        <wp:inline distB="114300" distT="114300" distL="114300" distR="114300">
          <wp:extent cx="2668588" cy="42266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68588" cy="42266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821" w:hanging="360.00000000000006"/>
      </w:pPr>
      <w:rPr>
        <w:rFonts w:ascii="Arial" w:cs="Arial" w:eastAsia="Arial" w:hAnsi="Arial"/>
        <w:sz w:val="22"/>
        <w:szCs w:val="22"/>
      </w:rPr>
    </w:lvl>
    <w:lvl w:ilvl="1">
      <w:start w:val="0"/>
      <w:numFmt w:val="bullet"/>
      <w:lvlText w:val="•"/>
      <w:lvlJc w:val="left"/>
      <w:pPr>
        <w:ind w:left="1694" w:hanging="360"/>
      </w:pPr>
      <w:rPr/>
    </w:lvl>
    <w:lvl w:ilvl="2">
      <w:start w:val="0"/>
      <w:numFmt w:val="bullet"/>
      <w:lvlText w:val="•"/>
      <w:lvlJc w:val="left"/>
      <w:pPr>
        <w:ind w:left="2568" w:hanging="360"/>
      </w:pPr>
      <w:rPr/>
    </w:lvl>
    <w:lvl w:ilvl="3">
      <w:start w:val="0"/>
      <w:numFmt w:val="bullet"/>
      <w:lvlText w:val="•"/>
      <w:lvlJc w:val="left"/>
      <w:pPr>
        <w:ind w:left="3442" w:hanging="360"/>
      </w:pPr>
      <w:rPr/>
    </w:lvl>
    <w:lvl w:ilvl="4">
      <w:start w:val="0"/>
      <w:numFmt w:val="bullet"/>
      <w:lvlText w:val="•"/>
      <w:lvlJc w:val="left"/>
      <w:pPr>
        <w:ind w:left="4316" w:hanging="360"/>
      </w:pPr>
      <w:rPr/>
    </w:lvl>
    <w:lvl w:ilvl="5">
      <w:start w:val="0"/>
      <w:numFmt w:val="bullet"/>
      <w:lvlText w:val="•"/>
      <w:lvlJc w:val="left"/>
      <w:pPr>
        <w:ind w:left="5190" w:hanging="360"/>
      </w:pPr>
      <w:rPr/>
    </w:lvl>
    <w:lvl w:ilvl="6">
      <w:start w:val="0"/>
      <w:numFmt w:val="bullet"/>
      <w:lvlText w:val="•"/>
      <w:lvlJc w:val="left"/>
      <w:pPr>
        <w:ind w:left="6064" w:hanging="360"/>
      </w:pPr>
      <w:rPr/>
    </w:lvl>
    <w:lvl w:ilvl="7">
      <w:start w:val="0"/>
      <w:numFmt w:val="bullet"/>
      <w:lvlText w:val="•"/>
      <w:lvlJc w:val="left"/>
      <w:pPr>
        <w:ind w:left="6938" w:hanging="360"/>
      </w:pPr>
      <w:rPr/>
    </w:lvl>
    <w:lvl w:ilvl="8">
      <w:start w:val="0"/>
      <w:numFmt w:val="bullet"/>
      <w:lvlText w:val="•"/>
      <w:lvlJc w:val="left"/>
      <w:pPr>
        <w:ind w:left="781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Arial" w:cs="Arial" w:eastAsia="Arial" w:hAnsi="Arial"/>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3" w:lineRule="auto"/>
      <w:ind w:left="235" w:right="235"/>
      <w:jc w:val="center"/>
    </w:pPr>
    <w:rPr>
      <w:rFonts w:ascii="Arial" w:cs="Arial" w:eastAsia="Arial" w:hAnsi="Arial"/>
      <w:b w:val="1"/>
      <w:sz w:val="28"/>
      <w:szCs w:val="28"/>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es-ES"/>
    </w:rPr>
  </w:style>
  <w:style w:type="paragraph" w:styleId="BodyText">
    <w:name w:val="Body Text"/>
    <w:basedOn w:val="Normal"/>
    <w:uiPriority w:val="1"/>
    <w:qFormat w:val="1"/>
    <w:pPr/>
    <w:rPr>
      <w:rFonts w:ascii="Arial MT" w:cs="Arial MT" w:eastAsia="Arial MT" w:hAnsi="Arial MT"/>
      <w:sz w:val="22"/>
      <w:szCs w:val="22"/>
      <w:lang w:bidi="ar-SA" w:eastAsia="en-US" w:val="es-ES"/>
    </w:rPr>
  </w:style>
  <w:style w:type="paragraph" w:styleId="Heading1">
    <w:name w:val="Heading 1"/>
    <w:basedOn w:val="Normal"/>
    <w:uiPriority w:val="1"/>
    <w:qFormat w:val="1"/>
    <w:pPr>
      <w:ind w:left="100"/>
      <w:outlineLvl w:val="1"/>
    </w:pPr>
    <w:rPr>
      <w:rFonts w:ascii="Arial" w:cs="Arial" w:eastAsia="Arial" w:hAnsi="Arial"/>
      <w:b w:val="1"/>
      <w:bCs w:val="1"/>
      <w:sz w:val="22"/>
      <w:szCs w:val="22"/>
      <w:lang w:bidi="ar-SA" w:eastAsia="en-US" w:val="es-ES"/>
    </w:rPr>
  </w:style>
  <w:style w:type="paragraph" w:styleId="Title">
    <w:name w:val="Title"/>
    <w:basedOn w:val="Normal"/>
    <w:uiPriority w:val="1"/>
    <w:qFormat w:val="1"/>
    <w:pPr>
      <w:spacing w:before="73"/>
      <w:ind w:left="235" w:right="235"/>
      <w:jc w:val="center"/>
    </w:pPr>
    <w:rPr>
      <w:rFonts w:ascii="Arial" w:cs="Arial" w:eastAsia="Arial" w:hAnsi="Arial"/>
      <w:b w:val="1"/>
      <w:bCs w:val="1"/>
      <w:sz w:val="28"/>
      <w:szCs w:val="28"/>
      <w:lang w:bidi="ar-SA" w:eastAsia="en-US" w:val="es-ES"/>
    </w:rPr>
  </w:style>
  <w:style w:type="paragraph" w:styleId="ListParagraph">
    <w:name w:val="List Paragraph"/>
    <w:basedOn w:val="Normal"/>
    <w:uiPriority w:val="1"/>
    <w:qFormat w:val="1"/>
    <w:pPr>
      <w:ind w:left="821" w:right="126" w:hanging="360"/>
    </w:pPr>
    <w:rPr>
      <w:rFonts w:ascii="Arial MT" w:cs="Arial MT" w:eastAsia="Arial MT" w:hAnsi="Arial MT"/>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netskope.com/" TargetMode="External"/><Relationship Id="rId11" Type="http://schemas.openxmlformats.org/officeDocument/2006/relationships/hyperlink" Target="https://www.netskope.com/netskope-one" TargetMode="External"/><Relationship Id="rId10" Type="http://schemas.openxmlformats.org/officeDocument/2006/relationships/hyperlink" Target="https://www.netskope.com/netskope-one" TargetMode="External"/><Relationship Id="rId21" Type="http://schemas.openxmlformats.org/officeDocument/2006/relationships/hyperlink" Target="https://www.netskope.com/" TargetMode="External"/><Relationship Id="rId13" Type="http://schemas.openxmlformats.org/officeDocument/2006/relationships/hyperlink" Target="https://www.netskope.com/press-releases/more-than-a-third-of-sensitive-business-information-entered-into-generative-ai-apps-is-regulated-personal-data-netskope-threat-labs"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etskope.com/netskope-one" TargetMode="External"/><Relationship Id="rId15" Type="http://schemas.openxmlformats.org/officeDocument/2006/relationships/hyperlink" Target="https://www.netskope.com/resources/data-sheets/netskope-casb-api-protection" TargetMode="External"/><Relationship Id="rId14" Type="http://schemas.openxmlformats.org/officeDocument/2006/relationships/hyperlink" Target="https://www.netskope.com/press-releases/more-than-a-third-of-sensitive-business-information-entered-into-generative-ai-apps-is-regulated-personal-data-netskope-threat-labs" TargetMode="External"/><Relationship Id="rId17" Type="http://schemas.openxmlformats.org/officeDocument/2006/relationships/header" Target="header1.xml"/><Relationship Id="rId16" Type="http://schemas.openxmlformats.org/officeDocument/2006/relationships/hyperlink" Target="https://www.netskope.com/resources/data-sheets/netskope-casb-api-protection" TargetMode="External"/><Relationship Id="rId5" Type="http://schemas.openxmlformats.org/officeDocument/2006/relationships/styles" Target="styles.xml"/><Relationship Id="rId19" Type="http://schemas.openxmlformats.org/officeDocument/2006/relationships/hyperlink" Target="https://www.netskope.com/resources/solution-briefs/skopeai-for-chatgpt-and-generative-ai" TargetMode="External"/><Relationship Id="rId6" Type="http://schemas.openxmlformats.org/officeDocument/2006/relationships/customXml" Target="../customXML/item1.xml"/><Relationship Id="rId18" Type="http://schemas.openxmlformats.org/officeDocument/2006/relationships/hyperlink" Target="https://www.netskope.com/blog/streamline-compliance-and-strengthen-data-protection-using-netskopes-integration-with-the-chatgpt-enterprise-compliance-api" TargetMode="External"/><Relationship Id="rId7" Type="http://schemas.openxmlformats.org/officeDocument/2006/relationships/hyperlink" Target="https://www.netskope.com/" TargetMode="External"/><Relationship Id="rId8" Type="http://schemas.openxmlformats.org/officeDocument/2006/relationships/hyperlink" Target="https://www.netskope.com/netskope-o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p+TGGnjkEwVxUYcOg87R2g0sg==">CgMxLjA4AHIhMTRWQjdlN3RuNEJRYkNOT1lHRUd5cUN0NGk1NW8zQ0NH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2024-07-19T17:24:10Z</dcterms:created>
  <dc:creator>Tim Whitman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2024-07-19T00:00:00Z</vt:lpwstr>
  </property>
  <property fmtid="{D5CDD505-2E9C-101B-9397-08002B2CF9AE}" pid="3" name="Creator">
    <vt:lpwstr>Microsoft Word</vt:lpwstr>
  </property>
  <property fmtid="{D5CDD505-2E9C-101B-9397-08002B2CF9AE}" pid="4" name="LastSaved">
    <vt:lpwstr>2024-07-19T00:00:00Z</vt:lpwstr>
  </property>
</Properties>
</file>